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6A24F" w14:textId="3EF21996" w:rsidR="005D388F" w:rsidRDefault="006C1B99" w:rsidP="006C1B99">
      <w:pPr>
        <w:pStyle w:val="Heading1"/>
      </w:pPr>
      <w:r>
        <w:t>Cards---Kentucky RR---Round 7</w:t>
      </w:r>
    </w:p>
    <w:p w14:paraId="036DA504" w14:textId="73276DEC" w:rsidR="006C1B99" w:rsidRDefault="006C1B99" w:rsidP="006C1B99">
      <w:pPr>
        <w:pStyle w:val="Heading2"/>
      </w:pPr>
      <w:r>
        <w:t>Topicality</w:t>
      </w:r>
    </w:p>
    <w:p w14:paraId="7C622907" w14:textId="3CD945CF" w:rsidR="006C1B99" w:rsidRDefault="006C1B99" w:rsidP="006C1B99">
      <w:pPr>
        <w:pStyle w:val="Heading3"/>
      </w:pPr>
      <w:r>
        <w:t>Plain Meaning Outweighs</w:t>
      </w:r>
    </w:p>
    <w:p w14:paraId="56CAED17" w14:textId="77777777" w:rsidR="006C1B99" w:rsidRPr="00111122" w:rsidRDefault="006C1B99" w:rsidP="006C1B99">
      <w:pPr>
        <w:pStyle w:val="Heading4"/>
        <w:rPr>
          <w:b w:val="0"/>
          <w:bCs/>
        </w:rPr>
      </w:pPr>
      <w:r>
        <w:t xml:space="preserve">It’s </w:t>
      </w:r>
      <w:r>
        <w:rPr>
          <w:u w:val="single"/>
        </w:rPr>
        <w:t>fundamental</w:t>
      </w:r>
      <w:r>
        <w:t xml:space="preserve"> to semantic interpretation.</w:t>
      </w:r>
    </w:p>
    <w:p w14:paraId="41F67E25" w14:textId="77777777" w:rsidR="006C1B99" w:rsidRPr="00C926AE" w:rsidRDefault="006C1B99" w:rsidP="006C1B99">
      <w:r>
        <w:t xml:space="preserve">Antonin </w:t>
      </w:r>
      <w:r w:rsidRPr="00C926AE">
        <w:rPr>
          <w:rStyle w:val="Style13ptBold"/>
        </w:rPr>
        <w:t>Scalia &amp;</w:t>
      </w:r>
      <w:r>
        <w:t xml:space="preserve"> Bryan </w:t>
      </w:r>
      <w:r w:rsidRPr="00C926AE">
        <w:rPr>
          <w:rStyle w:val="Style13ptBold"/>
        </w:rPr>
        <w:t>Garner 12</w:t>
      </w:r>
      <w:r>
        <w:t>. Former Supreme Court justice. American lawyer, lexicographer, and teacher. "Ordinary-Meaning Canon."</w:t>
      </w:r>
      <w:r w:rsidRPr="00F36030">
        <w:rPr>
          <w:i/>
          <w:iCs/>
        </w:rPr>
        <w:t xml:space="preserve"> </w:t>
      </w:r>
      <w:r>
        <w:rPr>
          <w:i/>
          <w:iCs/>
        </w:rPr>
        <w:t>Reading Law: The Interpretation of Legal Texts</w:t>
      </w:r>
      <w:r>
        <w:t>, ch. 6.</w:t>
      </w:r>
    </w:p>
    <w:p w14:paraId="285235C6" w14:textId="77777777" w:rsidR="006C1B99" w:rsidRPr="000C3370" w:rsidRDefault="006C1B99" w:rsidP="006C1B99">
      <w:r w:rsidRPr="00F366DF">
        <w:rPr>
          <w:rStyle w:val="StyleUnderline"/>
          <w:highlight w:val="cyan"/>
        </w:rPr>
        <w:t>Words are to be</w:t>
      </w:r>
      <w:r w:rsidRPr="0084138E">
        <w:rPr>
          <w:rStyle w:val="StyleUnderline"/>
        </w:rPr>
        <w:t xml:space="preserve"> understood </w:t>
      </w:r>
      <w:r w:rsidRPr="00F366DF">
        <w:rPr>
          <w:rStyle w:val="StyleUnderline"/>
          <w:highlight w:val="cyan"/>
        </w:rPr>
        <w:t xml:space="preserve">in </w:t>
      </w:r>
      <w:r w:rsidRPr="00A844BC">
        <w:rPr>
          <w:rStyle w:val="StyleUnderline"/>
          <w:highlight w:val="cyan"/>
        </w:rPr>
        <w:t>their</w:t>
      </w:r>
      <w:r w:rsidRPr="00A844BC">
        <w:rPr>
          <w:rStyle w:val="StyleUnderline"/>
        </w:rPr>
        <w:t xml:space="preserve"> ordinary, </w:t>
      </w:r>
      <w:r w:rsidRPr="00F366DF">
        <w:rPr>
          <w:rStyle w:val="Emphasis"/>
          <w:highlight w:val="cyan"/>
        </w:rPr>
        <w:t>everyday meanings</w:t>
      </w:r>
      <w:r w:rsidRPr="0084138E">
        <w:rPr>
          <w:rStyle w:val="StyleUnderline"/>
        </w:rPr>
        <w:t>—</w:t>
      </w:r>
      <w:r w:rsidRPr="0084138E">
        <w:rPr>
          <w:rStyle w:val="Emphasis"/>
        </w:rPr>
        <w:t>unless</w:t>
      </w:r>
      <w:r w:rsidRPr="0084138E">
        <w:rPr>
          <w:rStyle w:val="StyleUnderline"/>
        </w:rPr>
        <w:t xml:space="preserve"> the context </w:t>
      </w:r>
      <w:r w:rsidRPr="0084138E">
        <w:rPr>
          <w:rStyle w:val="Emphasis"/>
        </w:rPr>
        <w:t>indicates</w:t>
      </w:r>
      <w:r w:rsidRPr="000C3370">
        <w:t xml:space="preserve"> that </w:t>
      </w:r>
      <w:r w:rsidRPr="0084138E">
        <w:rPr>
          <w:rStyle w:val="StyleUnderline"/>
        </w:rPr>
        <w:t xml:space="preserve">they bear a </w:t>
      </w:r>
      <w:r w:rsidRPr="0084138E">
        <w:rPr>
          <w:rStyle w:val="Emphasis"/>
        </w:rPr>
        <w:t>technical sense</w:t>
      </w:r>
      <w:r w:rsidRPr="000C3370">
        <w:t>.</w:t>
      </w:r>
    </w:p>
    <w:p w14:paraId="74E5A8B8" w14:textId="77777777" w:rsidR="006C1B99" w:rsidRPr="000C3370" w:rsidRDefault="006C1B99" w:rsidP="006C1B99">
      <w:pPr>
        <w:ind w:left="720"/>
      </w:pPr>
      <w:r w:rsidRPr="000C3370">
        <w:t>“The enlightened patriots who framed our constitution, and the people who adopted it, must be understood to have employed words in their natural sense, and to have intended what they have said.”</w:t>
      </w:r>
    </w:p>
    <w:p w14:paraId="2986991A" w14:textId="77777777" w:rsidR="006C1B99" w:rsidRPr="000C3370" w:rsidRDefault="006C1B99" w:rsidP="006C1B99">
      <w:pPr>
        <w:ind w:left="720" w:firstLine="720"/>
      </w:pPr>
      <w:r w:rsidRPr="000C3370">
        <w:t>Chief Justice John Marshall,</w:t>
      </w:r>
    </w:p>
    <w:p w14:paraId="2BAC3078" w14:textId="77777777" w:rsidR="006C1B99" w:rsidRPr="000C3370" w:rsidRDefault="006C1B99" w:rsidP="006C1B99">
      <w:pPr>
        <w:ind w:left="720" w:firstLine="720"/>
      </w:pPr>
      <w:r w:rsidRPr="000C3370">
        <w:t>Gibbons v. Ogden, 22 U.S. (9 Wheat.) 1, 71 (1824).</w:t>
      </w:r>
    </w:p>
    <w:p w14:paraId="07CC4403" w14:textId="77777777" w:rsidR="006C1B99" w:rsidRPr="00B6424A" w:rsidRDefault="006C1B99" w:rsidP="006C1B99">
      <w:pPr>
        <w:rPr>
          <w:rStyle w:val="StyleUnderline"/>
        </w:rPr>
      </w:pPr>
      <w:r w:rsidRPr="00F366DF">
        <w:rPr>
          <w:rStyle w:val="StyleUnderline"/>
          <w:highlight w:val="cyan"/>
        </w:rPr>
        <w:t>The</w:t>
      </w:r>
      <w:r w:rsidRPr="0084138E">
        <w:rPr>
          <w:rStyle w:val="StyleUnderline"/>
        </w:rPr>
        <w:t xml:space="preserve"> </w:t>
      </w:r>
      <w:r w:rsidRPr="0084138E">
        <w:rPr>
          <w:rStyle w:val="Emphasis"/>
        </w:rPr>
        <w:t>ordinary-</w:t>
      </w:r>
      <w:r w:rsidRPr="00B6424A">
        <w:rPr>
          <w:rStyle w:val="Emphasis"/>
        </w:rPr>
        <w:t>meaning rule</w:t>
      </w:r>
      <w:r w:rsidRPr="00B6424A">
        <w:rPr>
          <w:rStyle w:val="StyleUnderline"/>
        </w:rPr>
        <w:t xml:space="preserve"> is the </w:t>
      </w:r>
      <w:r w:rsidRPr="00F366DF">
        <w:rPr>
          <w:rStyle w:val="Emphasis"/>
          <w:highlight w:val="cyan"/>
        </w:rPr>
        <w:t>most fundamental</w:t>
      </w:r>
      <w:r w:rsidRPr="00F17D56">
        <w:rPr>
          <w:rStyle w:val="StyleUnderline"/>
        </w:rPr>
        <w:t xml:space="preserve"> semantic </w:t>
      </w:r>
      <w:r w:rsidRPr="00F17D56">
        <w:rPr>
          <w:rStyle w:val="Emphasis"/>
          <w:highlight w:val="cyan"/>
        </w:rPr>
        <w:t>rule</w:t>
      </w:r>
      <w:r w:rsidRPr="00F17D56">
        <w:rPr>
          <w:rStyle w:val="Emphasis"/>
        </w:rPr>
        <w:t xml:space="preserve"> of interpretation</w:t>
      </w:r>
      <w:r w:rsidRPr="000C3370">
        <w:t xml:space="preserve">.1 </w:t>
      </w:r>
      <w:r w:rsidRPr="0084138E">
        <w:rPr>
          <w:rStyle w:val="StyleUnderline"/>
        </w:rPr>
        <w:t xml:space="preserve">It governs constitutions, statutes, rules, </w:t>
      </w:r>
      <w:r w:rsidRPr="0084138E">
        <w:rPr>
          <w:rStyle w:val="Emphasis"/>
        </w:rPr>
        <w:t>and</w:t>
      </w:r>
      <w:r w:rsidRPr="0084138E">
        <w:rPr>
          <w:rStyle w:val="StyleUnderline"/>
        </w:rPr>
        <w:t xml:space="preserve"> private instruments. </w:t>
      </w:r>
      <w:r w:rsidRPr="00F366DF">
        <w:rPr>
          <w:rStyle w:val="StyleUnderline"/>
          <w:highlight w:val="cyan"/>
        </w:rPr>
        <w:t xml:space="preserve">Interpreters should </w:t>
      </w:r>
      <w:r w:rsidRPr="00F366DF">
        <w:rPr>
          <w:rStyle w:val="Emphasis"/>
          <w:highlight w:val="cyan"/>
        </w:rPr>
        <w:t>not</w:t>
      </w:r>
      <w:r w:rsidRPr="0084138E">
        <w:rPr>
          <w:rStyle w:val="StyleUnderline"/>
        </w:rPr>
        <w:t xml:space="preserve"> be required to </w:t>
      </w:r>
      <w:r w:rsidRPr="00F366DF">
        <w:rPr>
          <w:rStyle w:val="StyleUnderline"/>
          <w:highlight w:val="cyan"/>
        </w:rPr>
        <w:t xml:space="preserve">divine </w:t>
      </w:r>
      <w:r w:rsidRPr="00F17D56">
        <w:rPr>
          <w:rStyle w:val="Emphasis"/>
        </w:rPr>
        <w:t xml:space="preserve">arcane </w:t>
      </w:r>
      <w:r w:rsidRPr="00F366DF">
        <w:rPr>
          <w:rStyle w:val="Emphasis"/>
          <w:highlight w:val="cyan"/>
        </w:rPr>
        <w:t>nuances</w:t>
      </w:r>
      <w:r w:rsidRPr="0084138E">
        <w:rPr>
          <w:rStyle w:val="StyleUnderline"/>
        </w:rPr>
        <w:t xml:space="preserve"> or</w:t>
      </w:r>
      <w:r w:rsidRPr="000C3370">
        <w:t xml:space="preserve"> to </w:t>
      </w:r>
      <w:r w:rsidRPr="0084138E">
        <w:rPr>
          <w:rStyle w:val="StyleUnderline"/>
        </w:rPr>
        <w:t xml:space="preserve">discover </w:t>
      </w:r>
      <w:r w:rsidRPr="00F17D56">
        <w:rPr>
          <w:rStyle w:val="StyleUnderline"/>
        </w:rPr>
        <w:t>hidden meanings</w:t>
      </w:r>
      <w:r w:rsidRPr="000C3370">
        <w:t xml:space="preserve">. Justice Joseph Story’s words are as true today as they were when written in the middle of the 19th century, and they are </w:t>
      </w:r>
      <w:r w:rsidRPr="0084138E">
        <w:rPr>
          <w:rStyle w:val="StyleUnderline"/>
        </w:rPr>
        <w:t>true</w:t>
      </w:r>
      <w:r w:rsidRPr="000C3370">
        <w:t xml:space="preserve"> not just of constitutions but </w:t>
      </w:r>
      <w:r w:rsidRPr="00B6424A">
        <w:rPr>
          <w:rStyle w:val="StyleUnderline"/>
        </w:rPr>
        <w:t xml:space="preserve">of </w:t>
      </w:r>
      <w:r w:rsidRPr="00B6424A">
        <w:rPr>
          <w:rStyle w:val="Emphasis"/>
        </w:rPr>
        <w:t>all</w:t>
      </w:r>
      <w:r w:rsidRPr="000C3370">
        <w:t xml:space="preserve"> other </w:t>
      </w:r>
      <w:r w:rsidRPr="00F17D56">
        <w:rPr>
          <w:rStyle w:val="StyleUnderline"/>
        </w:rPr>
        <w:t>legal instruments</w:t>
      </w:r>
      <w:r w:rsidRPr="00B6424A">
        <w:rPr>
          <w:rStyle w:val="StyleUnderline"/>
        </w:rPr>
        <w:t>:</w:t>
      </w:r>
    </w:p>
    <w:p w14:paraId="4259E774" w14:textId="77777777" w:rsidR="006C1B99" w:rsidRDefault="006C1B99" w:rsidP="006C1B99">
      <w:pPr>
        <w:ind w:left="720"/>
      </w:pPr>
      <w:r w:rsidRPr="00F17D56">
        <w:rPr>
          <w:rStyle w:val="StyleUnderline"/>
        </w:rPr>
        <w:t>[E]very word</w:t>
      </w:r>
      <w:r w:rsidRPr="000C3370">
        <w:t xml:space="preserve"> employed in the constitution </w:t>
      </w:r>
      <w:r w:rsidRPr="00B6424A">
        <w:rPr>
          <w:rStyle w:val="StyleUnderline"/>
        </w:rPr>
        <w:t xml:space="preserve">is to be expounded in </w:t>
      </w:r>
      <w:r w:rsidRPr="00F17D56">
        <w:rPr>
          <w:rStyle w:val="StyleUnderline"/>
        </w:rPr>
        <w:t xml:space="preserve">its </w:t>
      </w:r>
      <w:r w:rsidRPr="00B6424A">
        <w:rPr>
          <w:rStyle w:val="Emphasis"/>
        </w:rPr>
        <w:t>plain</w:t>
      </w:r>
      <w:r w:rsidRPr="00F17D56">
        <w:rPr>
          <w:rStyle w:val="StyleUnderline"/>
        </w:rPr>
        <w:t xml:space="preserve">, </w:t>
      </w:r>
      <w:r w:rsidRPr="00B6424A">
        <w:rPr>
          <w:rStyle w:val="Emphasis"/>
        </w:rPr>
        <w:t>obvious</w:t>
      </w:r>
      <w:r w:rsidRPr="00F17D56">
        <w:rPr>
          <w:rStyle w:val="StyleUnderline"/>
        </w:rPr>
        <w:t xml:space="preserve">, and </w:t>
      </w:r>
      <w:r w:rsidRPr="00B6424A">
        <w:rPr>
          <w:rStyle w:val="Emphasis"/>
        </w:rPr>
        <w:t>common sense</w:t>
      </w:r>
      <w:r w:rsidRPr="00B6424A">
        <w:rPr>
          <w:rStyle w:val="StyleUnderline"/>
        </w:rPr>
        <w:t>, unless the context</w:t>
      </w:r>
      <w:r w:rsidRPr="000C3370">
        <w:t xml:space="preserve"> furnishes some ground to </w:t>
      </w:r>
      <w:r w:rsidRPr="00B6424A">
        <w:rPr>
          <w:rStyle w:val="StyleUnderline"/>
        </w:rPr>
        <w:t>control</w:t>
      </w:r>
      <w:r w:rsidRPr="000C3370">
        <w:t xml:space="preserve">, qualify, or enlarge </w:t>
      </w:r>
      <w:r w:rsidRPr="00B6424A">
        <w:rPr>
          <w:rStyle w:val="StyleUnderline"/>
        </w:rPr>
        <w:t>it</w:t>
      </w:r>
      <w:r w:rsidRPr="000C3370">
        <w:t>. Constitutions are not designed for metaphysical or logical subtleties, for niceties of expression, for critical propriety, for elaborate shades of meaning, or for the exercise of philosophical acuteness or judicial research. They are instruments of a practical nature, founded on the common business of human life, adapted to common wants, designed for common use, and fitted for common understandings.2</w:t>
      </w:r>
    </w:p>
    <w:p w14:paraId="2530A8DD" w14:textId="77777777" w:rsidR="006C1B99" w:rsidRDefault="006C1B99" w:rsidP="006C1B99"/>
    <w:p w14:paraId="0234C48E" w14:textId="61E7C21D" w:rsidR="006C1B99" w:rsidRDefault="006C1B99" w:rsidP="006C1B99">
      <w:pPr>
        <w:pStyle w:val="Heading3"/>
      </w:pPr>
      <w:r>
        <w:t>Definitions</w:t>
      </w:r>
    </w:p>
    <w:p w14:paraId="523BFCB1" w14:textId="77777777" w:rsidR="0076754E" w:rsidRDefault="0076754E" w:rsidP="0076754E">
      <w:pPr>
        <w:pStyle w:val="Heading4"/>
      </w:pPr>
      <w:r w:rsidRPr="005049BB">
        <w:rPr>
          <w:u w:val="single"/>
        </w:rPr>
        <w:t>Predictability</w:t>
      </w:r>
      <w:r>
        <w:t xml:space="preserve">. ‘Strengthen collective bargaining’ can mean to </w:t>
      </w:r>
      <w:r w:rsidRPr="00570E0F">
        <w:rPr>
          <w:u w:val="single"/>
        </w:rPr>
        <w:t>create</w:t>
      </w:r>
      <w:r>
        <w:t>.</w:t>
      </w:r>
    </w:p>
    <w:p w14:paraId="6259EFA9" w14:textId="77777777" w:rsidR="0076754E" w:rsidRPr="00570E0F" w:rsidRDefault="0076754E" w:rsidP="0076754E">
      <w:r w:rsidRPr="00570E0F">
        <w:rPr>
          <w:lang w:val="it-IT"/>
        </w:rPr>
        <w:t xml:space="preserve">Kota </w:t>
      </w:r>
      <w:r w:rsidRPr="00570E0F">
        <w:rPr>
          <w:rStyle w:val="Style13ptBold"/>
          <w:lang w:val="it-IT"/>
        </w:rPr>
        <w:t>Kitagawa &amp;</w:t>
      </w:r>
      <w:r w:rsidRPr="00570E0F">
        <w:rPr>
          <w:lang w:val="it-IT"/>
        </w:rPr>
        <w:t xml:space="preserve"> Arata </w:t>
      </w:r>
      <w:r w:rsidRPr="00570E0F">
        <w:rPr>
          <w:rStyle w:val="Style13ptBold"/>
          <w:lang w:val="it-IT"/>
        </w:rPr>
        <w:t>Uemura 13</w:t>
      </w:r>
      <w:r w:rsidRPr="00570E0F">
        <w:rPr>
          <w:lang w:val="it-IT"/>
        </w:rPr>
        <w:t xml:space="preserve">. </w:t>
      </w:r>
      <w:r w:rsidRPr="00F675AB">
        <w:rPr>
          <w:lang w:val="it-IT"/>
        </w:rPr>
        <w:t xml:space="preserve">M.A. Candidate at Kyoto University. </w:t>
      </w:r>
      <w:r w:rsidRPr="00570E0F">
        <w:t>J.D. Candidate at Kyoto University</w:t>
      </w:r>
      <w:r>
        <w:t>. “</w:t>
      </w:r>
      <w:r w:rsidRPr="00570E0F">
        <w:t>General statutory minimum wage debate in Germany: Degrees of political intervention in collective bargaining autonomy</w:t>
      </w:r>
      <w:r>
        <w:t xml:space="preserve">.” </w:t>
      </w:r>
      <w:r w:rsidRPr="00570E0F">
        <w:rPr>
          <w:i/>
          <w:iCs/>
        </w:rPr>
        <w:t>The Kyoto Economic Review</w:t>
      </w:r>
      <w:r>
        <w:t xml:space="preserve">, Vol. 82, No. 1/2, pp. 59-91. </w:t>
      </w:r>
      <w:r w:rsidRPr="00570E0F">
        <w:t>https://www.jstor.org/stable/24898512</w:t>
      </w:r>
    </w:p>
    <w:p w14:paraId="2F4C0CAC" w14:textId="77777777" w:rsidR="0076754E" w:rsidRPr="006C1B99" w:rsidRDefault="0076754E" w:rsidP="0076754E">
      <w:r w:rsidRPr="00E0084B">
        <w:t xml:space="preserve">Moreover, outside the focus of this article—namely, the process of con flict and compromise, until the 2013 coalitional agreement—the legislative bill containing general minimum-wage law was considered an act that would </w:t>
      </w:r>
      <w:r w:rsidRPr="00570E0F">
        <w:rPr>
          <w:rStyle w:val="StyleUnderline"/>
          <w:highlight w:val="cyan"/>
        </w:rPr>
        <w:t>"</w:t>
      </w:r>
      <w:r w:rsidRPr="00570E0F">
        <w:rPr>
          <w:rStyle w:val="Emphasis"/>
          <w:highlight w:val="cyan"/>
        </w:rPr>
        <w:t>strengthen</w:t>
      </w:r>
      <w:r w:rsidRPr="007A015B">
        <w:rPr>
          <w:rStyle w:val="StyleUnderline"/>
        </w:rPr>
        <w:t xml:space="preserve"> the </w:t>
      </w:r>
      <w:r w:rsidRPr="005049BB">
        <w:rPr>
          <w:rStyle w:val="Emphasis"/>
        </w:rPr>
        <w:t xml:space="preserve">collective </w:t>
      </w:r>
      <w:r w:rsidRPr="00570E0F">
        <w:rPr>
          <w:rStyle w:val="Emphasis"/>
          <w:highlight w:val="cyan"/>
        </w:rPr>
        <w:t>bargaining</w:t>
      </w:r>
      <w:r w:rsidRPr="00E0084B">
        <w:t xml:space="preserve"> autonomy." </w:t>
      </w:r>
      <w:r w:rsidRPr="005049BB">
        <w:rPr>
          <w:rStyle w:val="StyleUnderline"/>
        </w:rPr>
        <w:t xml:space="preserve">Concrete </w:t>
      </w:r>
      <w:r w:rsidRPr="005049BB">
        <w:rPr>
          <w:rStyle w:val="StyleUnderline"/>
          <w:highlight w:val="cyan"/>
        </w:rPr>
        <w:t>definitions</w:t>
      </w:r>
      <w:r w:rsidRPr="005049BB">
        <w:rPr>
          <w:rStyle w:val="StyleUnderline"/>
        </w:rPr>
        <w:t xml:space="preserve"> of the term "</w:t>
      </w:r>
      <w:r w:rsidRPr="005049BB">
        <w:rPr>
          <w:rStyle w:val="Emphasis"/>
        </w:rPr>
        <w:t>strengthen</w:t>
      </w:r>
      <w:r w:rsidRPr="005049BB">
        <w:rPr>
          <w:rStyle w:val="StyleUnderline"/>
        </w:rPr>
        <w:t xml:space="preserve">" mainly </w:t>
      </w:r>
      <w:r w:rsidRPr="005049BB">
        <w:rPr>
          <w:rStyle w:val="StyleUnderline"/>
          <w:highlight w:val="cyan"/>
        </w:rPr>
        <w:t xml:space="preserve">connote the </w:t>
      </w:r>
      <w:r w:rsidRPr="005049BB">
        <w:rPr>
          <w:rStyle w:val="Emphasis"/>
          <w:highlight w:val="cyan"/>
        </w:rPr>
        <w:t>creation</w:t>
      </w:r>
      <w:r w:rsidRPr="005049BB">
        <w:rPr>
          <w:rStyle w:val="StyleUnderline"/>
          <w:highlight w:val="cyan"/>
        </w:rPr>
        <w:t xml:space="preserve"> </w:t>
      </w:r>
      <w:r w:rsidRPr="00570E0F">
        <w:rPr>
          <w:rStyle w:val="StyleUnderline"/>
          <w:highlight w:val="cyan"/>
        </w:rPr>
        <w:t>of a framework</w:t>
      </w:r>
      <w:r w:rsidRPr="005049BB">
        <w:rPr>
          <w:rStyle w:val="StyleUnderline"/>
        </w:rPr>
        <w:t xml:space="preserve"> of collective bargaining</w:t>
      </w:r>
      <w:r w:rsidRPr="00E0084B">
        <w:t xml:space="preserve"> that would set the general minimum wage and abolish the requirement of "50%" of AVE in TVG.15 In this act that would strengthen collective bargaining autonomy, the state should not be seen as a "decision-making entity" that would prejudice autonomy (Yamamoto, 2014, p. 37),36 but rather a "capacitating framework" that would enable employers and employees to revamp a loose-bottomed system of industrial relations. Therefore, we consider the act a revamped legal foundation with respect to autonomy.</w:t>
      </w:r>
    </w:p>
    <w:p w14:paraId="4FF056BA" w14:textId="77777777" w:rsidR="0076754E" w:rsidRPr="0076754E" w:rsidRDefault="0076754E" w:rsidP="0076754E"/>
    <w:p w14:paraId="0ED481D8" w14:textId="77777777" w:rsidR="006C1B99" w:rsidRPr="000A7146" w:rsidRDefault="006C1B99" w:rsidP="006C1B99">
      <w:pPr>
        <w:pStyle w:val="Heading4"/>
      </w:pPr>
      <w:r>
        <w:t>‘Collective bargaining rights’ require good faith bargaining to the point of impasse. This is the ‘universally recognized’ definition.</w:t>
      </w:r>
    </w:p>
    <w:p w14:paraId="0985ED00" w14:textId="77777777" w:rsidR="006C1B99" w:rsidRPr="000A7146" w:rsidRDefault="006C1B99" w:rsidP="006C1B99">
      <w:r>
        <w:t xml:space="preserve">Harry </w:t>
      </w:r>
      <w:r w:rsidRPr="000A7146">
        <w:rPr>
          <w:rStyle w:val="Style13ptBold"/>
        </w:rPr>
        <w:t>Edwards 85</w:t>
      </w:r>
      <w:r w:rsidRPr="000A7146">
        <w:t>.</w:t>
      </w:r>
      <w:r>
        <w:t xml:space="preserve"> Circuit Judge for the District of Columbia Circuit. </w:t>
      </w:r>
      <w:r w:rsidRPr="000A7146">
        <w:t xml:space="preserve">Amalgamated Transit Union Int'l v. Donovan, 1985 U.S. App. </w:t>
      </w:r>
      <w:r>
        <w:t>1985. Lexis.</w:t>
      </w:r>
    </w:p>
    <w:p w14:paraId="71E1CEF2" w14:textId="77777777" w:rsidR="006C1B99" w:rsidRDefault="006C1B99" w:rsidP="006C1B99">
      <w:pPr>
        <w:rPr>
          <w:sz w:val="16"/>
        </w:rPr>
      </w:pPr>
      <w:bookmarkStart w:id="0" w:name="PAGE_1102"/>
      <w:r w:rsidRPr="00F86E0F">
        <w:rPr>
          <w:sz w:val="16"/>
        </w:rPr>
        <w:t>[*950] In sum, Congress struck a delicate balance in section 13(c). </w:t>
      </w:r>
      <w:bookmarkEnd w:id="0"/>
      <w:r>
        <w:rPr>
          <w:rStyle w:val="StyleUnderline"/>
        </w:rPr>
        <w:t>The statute</w:t>
      </w:r>
      <w:r w:rsidRPr="003E0B0E">
        <w:rPr>
          <w:rStyle w:val="StyleUnderline"/>
        </w:rPr>
        <w:t xml:space="preserve"> provides</w:t>
      </w:r>
      <w:r w:rsidRPr="00F86E0F">
        <w:rPr>
          <w:sz w:val="16"/>
        </w:rPr>
        <w:t xml:space="preserve"> that </w:t>
      </w:r>
      <w:r w:rsidRPr="003E0B0E">
        <w:rPr>
          <w:rStyle w:val="StyleUnderline"/>
        </w:rPr>
        <w:t>state law should govern</w:t>
      </w:r>
      <w:r w:rsidRPr="00F86E0F">
        <w:rPr>
          <w:sz w:val="16"/>
        </w:rPr>
        <w:t xml:space="preserve"> the </w:t>
      </w:r>
      <w:r w:rsidRPr="003E0B0E">
        <w:rPr>
          <w:rStyle w:val="StyleUnderline"/>
        </w:rPr>
        <w:t>labor relations</w:t>
      </w:r>
      <w:r w:rsidRPr="00F86E0F">
        <w:rPr>
          <w:sz w:val="16"/>
        </w:rPr>
        <w:t xml:space="preserve"> of public transit authorities and their employees, </w:t>
      </w:r>
      <w:r w:rsidRPr="003E0B0E">
        <w:rPr>
          <w:rStyle w:val="StyleUnderline"/>
        </w:rPr>
        <w:t>but it conditions federal transit aid</w:t>
      </w:r>
      <w:r w:rsidRPr="00F86E0F">
        <w:rPr>
          <w:sz w:val="16"/>
        </w:rPr>
        <w:t xml:space="preserve">, in part, </w:t>
      </w:r>
      <w:r w:rsidRPr="003E0B0E">
        <w:rPr>
          <w:rStyle w:val="StyleUnderline"/>
        </w:rPr>
        <w:t>on</w:t>
      </w:r>
      <w:r w:rsidRPr="00F86E0F">
        <w:rPr>
          <w:sz w:val="16"/>
        </w:rPr>
        <w:t xml:space="preserve"> the </w:t>
      </w:r>
      <w:r w:rsidRPr="003E0B0E">
        <w:rPr>
          <w:rStyle w:val="StyleUnderline"/>
        </w:rPr>
        <w:t xml:space="preserve">continuation of </w:t>
      </w:r>
      <w:r w:rsidRPr="003E0B0E">
        <w:rPr>
          <w:rStyle w:val="Emphasis"/>
        </w:rPr>
        <w:t>collective bargaining rights</w:t>
      </w:r>
      <w:r w:rsidRPr="003E0B0E">
        <w:rPr>
          <w:rStyle w:val="StyleUnderline"/>
        </w:rPr>
        <w:t>. In setting out those rights, Congress chose not to incorporate</w:t>
      </w:r>
      <w:r w:rsidRPr="00F86E0F">
        <w:rPr>
          <w:sz w:val="16"/>
        </w:rPr>
        <w:t xml:space="preserve"> the </w:t>
      </w:r>
      <w:r w:rsidRPr="003E0B0E">
        <w:rPr>
          <w:rStyle w:val="Emphasis"/>
        </w:rPr>
        <w:t>entire</w:t>
      </w:r>
      <w:r w:rsidRPr="003E0B0E">
        <w:rPr>
          <w:rStyle w:val="StyleUnderline"/>
        </w:rPr>
        <w:t xml:space="preserve"> structure and requirements of</w:t>
      </w:r>
      <w:r w:rsidRPr="00F86E0F">
        <w:rPr>
          <w:sz w:val="16"/>
        </w:rPr>
        <w:t xml:space="preserve"> the </w:t>
      </w:r>
      <w:r w:rsidRPr="003E0B0E">
        <w:rPr>
          <w:rStyle w:val="Emphasis"/>
        </w:rPr>
        <w:t>NLRA</w:t>
      </w:r>
      <w:r w:rsidRPr="00F86E0F">
        <w:rPr>
          <w:sz w:val="16"/>
        </w:rPr>
        <w:t xml:space="preserve"> into section 13(c), for to do so would force states to choose between federal transit aid and their exclusion from the coverage of the NLRA. On the other hand, </w:t>
      </w:r>
      <w:r w:rsidRPr="003E0B0E">
        <w:rPr>
          <w:rStyle w:val="StyleUnderline"/>
        </w:rPr>
        <w:t>Congress made it clear</w:t>
      </w:r>
      <w:r w:rsidRPr="00F86E0F">
        <w:rPr>
          <w:sz w:val="16"/>
        </w:rPr>
        <w:t xml:space="preserve"> that </w:t>
      </w:r>
      <w:r w:rsidRPr="003E0B0E">
        <w:rPr>
          <w:rStyle w:val="StyleUnderline"/>
        </w:rPr>
        <w:t>federal labor policy would dictate</w:t>
      </w:r>
      <w:r w:rsidRPr="00F86E0F">
        <w:rPr>
          <w:sz w:val="16"/>
        </w:rPr>
        <w:t xml:space="preserve"> the substantive </w:t>
      </w:r>
      <w:r w:rsidRPr="003E0B0E">
        <w:rPr>
          <w:rStyle w:val="Emphasis"/>
        </w:rPr>
        <w:t>meaning</w:t>
      </w:r>
      <w:r w:rsidRPr="003E0B0E">
        <w:rPr>
          <w:rStyle w:val="StyleUnderline"/>
        </w:rPr>
        <w:t xml:space="preserve"> of collective bargaining for purposes of section 13(c). </w:t>
      </w:r>
      <w:r w:rsidRPr="00CC7BB6">
        <w:rPr>
          <w:rStyle w:val="Emphasis"/>
          <w:highlight w:val="cyan"/>
        </w:rPr>
        <w:t>"Good faith" bargaining</w:t>
      </w:r>
      <w:r w:rsidRPr="00CC7BB6">
        <w:rPr>
          <w:rStyle w:val="StyleUnderline"/>
          <w:highlight w:val="cyan"/>
        </w:rPr>
        <w:t xml:space="preserve">, to a point of </w:t>
      </w:r>
      <w:r w:rsidRPr="00CC7BB6">
        <w:rPr>
          <w:rStyle w:val="Emphasis"/>
          <w:highlight w:val="cyan"/>
        </w:rPr>
        <w:t>impasse</w:t>
      </w:r>
      <w:r w:rsidRPr="00F86E0F">
        <w:rPr>
          <w:sz w:val="16"/>
        </w:rPr>
        <w:t xml:space="preserve"> if necessary, </w:t>
      </w:r>
      <w:r w:rsidRPr="00CC7BB6">
        <w:rPr>
          <w:rStyle w:val="StyleUnderline"/>
          <w:highlight w:val="cyan"/>
        </w:rPr>
        <w:t>over</w:t>
      </w:r>
      <w:r w:rsidRPr="003E0B0E">
        <w:rPr>
          <w:rStyle w:val="StyleUnderline"/>
        </w:rPr>
        <w:t xml:space="preserve"> wages, hours and other </w:t>
      </w:r>
      <w:r w:rsidRPr="00CC7BB6">
        <w:rPr>
          <w:rStyle w:val="StyleUnderline"/>
          <w:highlight w:val="cyan"/>
        </w:rPr>
        <w:t>terms and conditions</w:t>
      </w:r>
      <w:r w:rsidRPr="00F86E0F">
        <w:rPr>
          <w:sz w:val="16"/>
        </w:rPr>
        <w:t xml:space="preserve"> of employment </w:t>
      </w:r>
      <w:r w:rsidRPr="00CC7BB6">
        <w:rPr>
          <w:rStyle w:val="StyleUnderline"/>
          <w:highlight w:val="cyan"/>
        </w:rPr>
        <w:t xml:space="preserve">has always been the </w:t>
      </w:r>
      <w:r w:rsidRPr="00CC7BB6">
        <w:rPr>
          <w:rStyle w:val="Emphasis"/>
          <w:highlight w:val="cyan"/>
        </w:rPr>
        <w:t>essence</w:t>
      </w:r>
      <w:r w:rsidRPr="00CC7BB6">
        <w:rPr>
          <w:rStyle w:val="StyleUnderline"/>
          <w:highlight w:val="cyan"/>
        </w:rPr>
        <w:t xml:space="preserve"> of federally-defined collective bargaining rights</w:t>
      </w:r>
      <w:r w:rsidRPr="00F86E0F">
        <w:rPr>
          <w:sz w:val="16"/>
        </w:rPr>
        <w:t xml:space="preserve">; indeed, excluding the federal sector, </w:t>
      </w:r>
      <w:r w:rsidRPr="00CC7BB6">
        <w:rPr>
          <w:rStyle w:val="StyleUnderline"/>
          <w:highlight w:val="cyan"/>
        </w:rPr>
        <w:t>it is the</w:t>
      </w:r>
      <w:r w:rsidRPr="00F86E0F">
        <w:rPr>
          <w:sz w:val="16"/>
        </w:rPr>
        <w:t xml:space="preserve"> almost </w:t>
      </w:r>
      <w:r w:rsidRPr="00CC7BB6">
        <w:rPr>
          <w:rStyle w:val="Emphasis"/>
          <w:highlight w:val="cyan"/>
        </w:rPr>
        <w:t>universally recognized</w:t>
      </w:r>
      <w:r w:rsidRPr="00CC7BB6">
        <w:rPr>
          <w:rStyle w:val="StyleUnderline"/>
          <w:highlight w:val="cyan"/>
        </w:rPr>
        <w:t xml:space="preserve"> definition of collective bargaining in the </w:t>
      </w:r>
      <w:r w:rsidRPr="00CC7BB6">
        <w:rPr>
          <w:rStyle w:val="Emphasis"/>
          <w:highlight w:val="cyan"/>
        </w:rPr>
        <w:t>U</w:t>
      </w:r>
      <w:r w:rsidRPr="003E0B0E">
        <w:rPr>
          <w:rStyle w:val="StyleUnderline"/>
        </w:rPr>
        <w:t xml:space="preserve">nited </w:t>
      </w:r>
      <w:r w:rsidRPr="00CC7BB6">
        <w:rPr>
          <w:rStyle w:val="Emphasis"/>
          <w:highlight w:val="cyan"/>
        </w:rPr>
        <w:t>S</w:t>
      </w:r>
      <w:r w:rsidRPr="003E0B0E">
        <w:rPr>
          <w:rStyle w:val="StyleUnderline"/>
        </w:rPr>
        <w:t>tates</w:t>
      </w:r>
      <w:r w:rsidRPr="00F86E0F">
        <w:rPr>
          <w:sz w:val="16"/>
        </w:rPr>
        <w:t>.</w:t>
      </w:r>
    </w:p>
    <w:p w14:paraId="7ECD11B9" w14:textId="77777777" w:rsidR="006C1B99" w:rsidRDefault="006C1B99" w:rsidP="006C1B99">
      <w:pPr>
        <w:pStyle w:val="Heading4"/>
      </w:pPr>
      <w:r>
        <w:t xml:space="preserve">‘Strengthen’ means to make stronger. </w:t>
      </w:r>
    </w:p>
    <w:p w14:paraId="1C2DD122" w14:textId="77777777" w:rsidR="006C1B99" w:rsidRPr="003F4A06" w:rsidRDefault="006C1B99" w:rsidP="006C1B99">
      <w:r w:rsidRPr="00257F53">
        <w:rPr>
          <w:rStyle w:val="Style13ptBold"/>
        </w:rPr>
        <w:t>Merriam Webster</w:t>
      </w:r>
      <w:r>
        <w:rPr>
          <w:rStyle w:val="Style13ptBold"/>
        </w:rPr>
        <w:t xml:space="preserve"> 25</w:t>
      </w:r>
      <w:r w:rsidRPr="003F4A06">
        <w:t xml:space="preserve">, 5-16-2025, "Definition of STRENGTHEN", No Publication, </w:t>
      </w:r>
      <w:r w:rsidRPr="001C794D">
        <w:t>https://www.merriam-webster.com/dictionary/strengthen</w:t>
      </w:r>
    </w:p>
    <w:p w14:paraId="24BCC09F" w14:textId="77777777" w:rsidR="006C1B99" w:rsidRPr="00813BB8" w:rsidRDefault="006C1B99" w:rsidP="006C1B99">
      <w:pPr>
        <w:rPr>
          <w:sz w:val="16"/>
        </w:rPr>
      </w:pPr>
      <w:r w:rsidRPr="00813BB8">
        <w:rPr>
          <w:sz w:val="16"/>
        </w:rPr>
        <w:t xml:space="preserve">: </w:t>
      </w:r>
      <w:r w:rsidRPr="00257F53">
        <w:rPr>
          <w:rStyle w:val="StyleUnderline"/>
          <w:highlight w:val="cyan"/>
        </w:rPr>
        <w:t xml:space="preserve">to make </w:t>
      </w:r>
      <w:r w:rsidRPr="00257F53">
        <w:rPr>
          <w:rStyle w:val="Emphasis"/>
          <w:highlight w:val="cyan"/>
        </w:rPr>
        <w:t>stronger</w:t>
      </w:r>
    </w:p>
    <w:p w14:paraId="7836613C" w14:textId="77777777" w:rsidR="006C1B99" w:rsidRPr="00813BB8" w:rsidRDefault="006C1B99" w:rsidP="006C1B99">
      <w:pPr>
        <w:rPr>
          <w:sz w:val="16"/>
        </w:rPr>
      </w:pPr>
      <w:r w:rsidRPr="00813BB8">
        <w:rPr>
          <w:sz w:val="16"/>
        </w:rPr>
        <w:t>intransitive verb</w:t>
      </w:r>
    </w:p>
    <w:p w14:paraId="593D33F4" w14:textId="77777777" w:rsidR="006C1B99" w:rsidRPr="00813BB8" w:rsidRDefault="006C1B99" w:rsidP="006C1B99">
      <w:pPr>
        <w:rPr>
          <w:sz w:val="16"/>
        </w:rPr>
      </w:pPr>
      <w:r w:rsidRPr="00813BB8">
        <w:rPr>
          <w:sz w:val="16"/>
        </w:rPr>
        <w:t>: to become stronger</w:t>
      </w:r>
    </w:p>
    <w:p w14:paraId="38B4E57B" w14:textId="77777777" w:rsidR="006C1B99" w:rsidRPr="006C1B99" w:rsidRDefault="006C1B99" w:rsidP="006C1B99"/>
    <w:sectPr w:rsidR="006C1B99" w:rsidRPr="006C1B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E0BBD" w14:textId="77777777" w:rsidR="006D32EC" w:rsidRDefault="006D32EC" w:rsidP="00066D2C">
      <w:pPr>
        <w:spacing w:after="0" w:line="240" w:lineRule="auto"/>
      </w:pPr>
      <w:r>
        <w:separator/>
      </w:r>
    </w:p>
  </w:endnote>
  <w:endnote w:type="continuationSeparator" w:id="0">
    <w:p w14:paraId="085E1EA9" w14:textId="77777777" w:rsidR="006D32EC" w:rsidRDefault="006D32EC"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A90BA" w14:textId="77777777" w:rsidR="006D32EC" w:rsidRDefault="006D32EC" w:rsidP="00066D2C">
      <w:pPr>
        <w:spacing w:after="0" w:line="240" w:lineRule="auto"/>
      </w:pPr>
      <w:r>
        <w:separator/>
      </w:r>
    </w:p>
  </w:footnote>
  <w:footnote w:type="continuationSeparator" w:id="0">
    <w:p w14:paraId="7094016D" w14:textId="77777777" w:rsidR="006D32EC" w:rsidRDefault="006D32EC"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E639B2"/>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1B99"/>
    <w:rsid w:val="006C2072"/>
    <w:rsid w:val="006C43E7"/>
    <w:rsid w:val="006C4820"/>
    <w:rsid w:val="006C5872"/>
    <w:rsid w:val="006C60E0"/>
    <w:rsid w:val="006C676D"/>
    <w:rsid w:val="006C69E2"/>
    <w:rsid w:val="006C7825"/>
    <w:rsid w:val="006D32EC"/>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6754E"/>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602E"/>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39B2"/>
    <w:rsid w:val="00E65E56"/>
    <w:rsid w:val="00E664D0"/>
    <w:rsid w:val="00E66F94"/>
    <w:rsid w:val="00E670E5"/>
    <w:rsid w:val="00E6767D"/>
    <w:rsid w:val="00E70A06"/>
    <w:rsid w:val="00E717C1"/>
    <w:rsid w:val="00E71E63"/>
    <w:rsid w:val="00E762A5"/>
    <w:rsid w:val="00E76D4C"/>
    <w:rsid w:val="00E81786"/>
    <w:rsid w:val="00E856BB"/>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66B2C"/>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CB92B"/>
  <w15:chartTrackingRefBased/>
  <w15:docId w15:val="{69940BAC-DD50-4A51-AE6B-F9893B07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639B2"/>
    <w:rPr>
      <w:rFonts w:ascii="Calibri" w:hAnsi="Calibri" w:cs="Calibri"/>
    </w:rPr>
  </w:style>
  <w:style w:type="paragraph" w:styleId="Heading1">
    <w:name w:val="heading 1"/>
    <w:aliases w:val="Pocket"/>
    <w:basedOn w:val="Normal"/>
    <w:next w:val="Normal"/>
    <w:link w:val="Heading1Char"/>
    <w:qFormat/>
    <w:rsid w:val="00E639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639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E639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E639B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639B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639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9B2"/>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E639B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639B2"/>
    <w:rPr>
      <w:color w:val="auto"/>
      <w:u w:val="none"/>
    </w:rPr>
  </w:style>
  <w:style w:type="character" w:customStyle="1" w:styleId="Heading1Char">
    <w:name w:val="Heading 1 Char"/>
    <w:aliases w:val="Pocket Char"/>
    <w:basedOn w:val="DefaultParagraphFont"/>
    <w:link w:val="Heading1"/>
    <w:rsid w:val="00E639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39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39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E639B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E639B2"/>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E639B2"/>
    <w:rPr>
      <w:b w:val="0"/>
      <w:sz w:val="22"/>
      <w:u w:val="single"/>
    </w:rPr>
  </w:style>
  <w:style w:type="character" w:styleId="Strong">
    <w:name w:val="Strong"/>
    <w:basedOn w:val="DefaultParagraphFont"/>
    <w:uiPriority w:val="22"/>
    <w:semiHidden/>
    <w:qFormat/>
    <w:rsid w:val="00E639B2"/>
    <w:rPr>
      <w:b/>
      <w:bCs/>
    </w:rPr>
  </w:style>
  <w:style w:type="character" w:styleId="BookTitle">
    <w:name w:val="Book Title"/>
    <w:basedOn w:val="DefaultParagraphFont"/>
    <w:uiPriority w:val="33"/>
    <w:semiHidden/>
    <w:qFormat/>
    <w:rsid w:val="00E639B2"/>
    <w:rPr>
      <w:b/>
      <w:bCs/>
      <w:i/>
      <w:iCs/>
      <w:spacing w:val="5"/>
    </w:rPr>
  </w:style>
  <w:style w:type="character" w:customStyle="1" w:styleId="Heading5Char">
    <w:name w:val="Heading 5 Char"/>
    <w:basedOn w:val="DefaultParagraphFont"/>
    <w:link w:val="Heading5"/>
    <w:uiPriority w:val="9"/>
    <w:semiHidden/>
    <w:rsid w:val="00E639B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639B2"/>
  </w:style>
  <w:style w:type="paragraph" w:styleId="Header">
    <w:name w:val="header"/>
    <w:basedOn w:val="Normal"/>
    <w:link w:val="HeaderChar"/>
    <w:uiPriority w:val="99"/>
    <w:semiHidden/>
    <w:rsid w:val="00E639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39B2"/>
    <w:rPr>
      <w:rFonts w:ascii="Calibri" w:hAnsi="Calibri" w:cs="Calibri"/>
    </w:rPr>
  </w:style>
  <w:style w:type="paragraph" w:styleId="Footer">
    <w:name w:val="footer"/>
    <w:basedOn w:val="Normal"/>
    <w:link w:val="FooterChar"/>
    <w:uiPriority w:val="99"/>
    <w:semiHidden/>
    <w:rsid w:val="00E639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39B2"/>
    <w:rPr>
      <w:rFonts w:ascii="Calibri" w:hAnsi="Calibri" w:cs="Calibri"/>
    </w:rPr>
  </w:style>
  <w:style w:type="paragraph" w:styleId="BodyText">
    <w:name w:val="Body Text"/>
    <w:basedOn w:val="Normal"/>
    <w:link w:val="BodyTextChar"/>
    <w:uiPriority w:val="99"/>
    <w:semiHidden/>
    <w:unhideWhenUsed/>
    <w:rsid w:val="00E639B2"/>
    <w:pPr>
      <w:spacing w:after="120"/>
    </w:pPr>
  </w:style>
  <w:style w:type="character" w:customStyle="1" w:styleId="BodyTextChar">
    <w:name w:val="Body Text Char"/>
    <w:basedOn w:val="DefaultParagraphFont"/>
    <w:link w:val="BodyText"/>
    <w:uiPriority w:val="99"/>
    <w:semiHidden/>
    <w:rsid w:val="00E639B2"/>
    <w:rPr>
      <w:rFonts w:ascii="Calibri" w:hAnsi="Calibri" w:cs="Calibri"/>
    </w:rPr>
  </w:style>
  <w:style w:type="paragraph" w:styleId="NoSpacing">
    <w:name w:val="No Spacing"/>
    <w:link w:val="NoSpacingChar"/>
    <w:uiPriority w:val="99"/>
    <w:semiHidden/>
    <w:unhideWhenUsed/>
    <w:qFormat/>
    <w:rsid w:val="00E639B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639B2"/>
    <w:rPr>
      <w:rFonts w:ascii="Calibri" w:hAnsi="Calibri" w:cs="Calibri"/>
    </w:rPr>
  </w:style>
  <w:style w:type="character" w:styleId="Hyperlink">
    <w:name w:val="Hyperlink"/>
    <w:basedOn w:val="DefaultParagraphFont"/>
    <w:uiPriority w:val="99"/>
    <w:unhideWhenUsed/>
    <w:rsid w:val="00E639B2"/>
    <w:rPr>
      <w:color w:val="0563C1" w:themeColor="hyperlink"/>
      <w:u w:val="single"/>
    </w:rPr>
  </w:style>
  <w:style w:type="character" w:styleId="UnresolvedMention">
    <w:name w:val="Unresolved Mention"/>
    <w:basedOn w:val="DefaultParagraphFont"/>
    <w:uiPriority w:val="99"/>
    <w:semiHidden/>
    <w:unhideWhenUsed/>
    <w:rsid w:val="00E639B2"/>
    <w:rPr>
      <w:color w:val="605E5C"/>
      <w:shd w:val="clear" w:color="auto" w:fill="E1DFDD"/>
    </w:rPr>
  </w:style>
  <w:style w:type="paragraph" w:customStyle="1" w:styleId="Analytics">
    <w:name w:val="Analytics"/>
    <w:basedOn w:val="Heading4"/>
    <w:link w:val="AnalyticsChar"/>
    <w:uiPriority w:val="5"/>
    <w:qFormat/>
    <w:rsid w:val="00E639B2"/>
    <w:rPr>
      <w:color w:val="000099"/>
      <w:u w:color="000099"/>
    </w:rPr>
  </w:style>
  <w:style w:type="character" w:customStyle="1" w:styleId="AnalyticsChar">
    <w:name w:val="Analytics Char"/>
    <w:basedOn w:val="DefaultParagraphFont"/>
    <w:link w:val="Analytics"/>
    <w:uiPriority w:val="5"/>
    <w:rsid w:val="00E639B2"/>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6C1B99"/>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711</Words>
  <Characters>3843</Characters>
  <Application>Microsoft Office Word</Application>
  <DocSecurity>0</DocSecurity>
  <Lines>142</Lines>
  <Paragraphs>162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4</cp:revision>
  <dcterms:created xsi:type="dcterms:W3CDTF">2025-09-25T23:21:00Z</dcterms:created>
  <dcterms:modified xsi:type="dcterms:W3CDTF">2025-09-25T23:23:00Z</dcterms:modified>
</cp:coreProperties>
</file>